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首届川渝住房城乡建设博览会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团组观众参观路线方案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团组路线时间表</w:t>
      </w:r>
    </w:p>
    <w:tbl>
      <w:tblPr>
        <w:tblStyle w:val="3"/>
        <w:tblW w:w="89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059"/>
        <w:gridCol w:w="4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日 期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时 间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安排路线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2021年6月23日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10:00-11:00</w:t>
            </w:r>
          </w:p>
        </w:tc>
        <w:tc>
          <w:tcPr>
            <w:tcW w:w="43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川渝区域合作与高品质生活宜居参观路线</w:t>
            </w:r>
          </w:p>
          <w:p>
            <w:pPr>
              <w:widowControl/>
              <w:tabs>
                <w:tab w:val="left" w:pos="312"/>
              </w:tabs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2.城市建设与绿色生态参观路线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3.美好生活与新型工业化参观路线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14:30-15:30</w:t>
            </w:r>
          </w:p>
        </w:tc>
        <w:tc>
          <w:tcPr>
            <w:tcW w:w="43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2021年6月24日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10:30-11:30</w:t>
            </w:r>
          </w:p>
        </w:tc>
        <w:tc>
          <w:tcPr>
            <w:tcW w:w="43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14:30-15:30</w:t>
            </w:r>
          </w:p>
        </w:tc>
        <w:tc>
          <w:tcPr>
            <w:tcW w:w="43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2021年6月25日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10:30-11:30</w:t>
            </w:r>
          </w:p>
        </w:tc>
        <w:tc>
          <w:tcPr>
            <w:tcW w:w="4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参观路线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（一）路线1：川渝区域合作与高品质生活宜居参观路线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1.集合地点：5号馆序馆前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2.路线安排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从5号馆出发，参观序馆、成都、达州、资阳、雅安、眉山、阿坝、荣昌、璧山、重庆、南充、乐山、攀枝花、凉山、内江、自贡、遂宁、泸州、巴中、德阳20处，在6号馆结束。全程步行路程约516米，每处停留讲解2-3分钟，预计总时间50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序馆介绍由领队工作人员统一进行讲解，其他停留点建议由展商自行讲解。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路线2：城市建设与绿色生态参观路线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1.集合地点：6号馆前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2.路线安排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从6号馆出发，经过市州馆，参观重庆对外建设、林同</w:t>
      </w:r>
      <w:r>
        <w:rPr>
          <w:rFonts w:hint="eastAsia" w:ascii="宋体" w:hAnsi="宋体" w:eastAsia="宋体" w:cs="宋体"/>
          <w:sz w:val="32"/>
          <w:szCs w:val="32"/>
        </w:rPr>
        <w:t>棪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国际、重庆设计集团、省设计院、中建西南院、中煤科工、市政院、成都市设计院、中机中联、中冶赛迪、威盾经过四川古村落到达</w:t>
      </w:r>
      <w:r>
        <w:rPr>
          <w:rFonts w:hint="eastAsia" w:ascii="仿宋_GB2312" w:hAnsi="Times New Roman" w:eastAsia="仿宋_GB2312"/>
          <w:sz w:val="32"/>
          <w:szCs w:val="32"/>
        </w:rPr>
        <w:t>7号馆，参观电建成都工业化、云海天、重庆轨道交通，到达8号馆，参观城市管理展区、城投置地、轨道共16处，在8号馆结束，全程步行路程约660米，每处停留讲解2-3分钟，预计总时间50分钟。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停留点介绍建议由展商自行讲解。（停留展位建议由招展部门确认）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（三）路线3：美好生活与新型工业化参观路线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1.集合地点：7号馆前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2.路线安排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从7号馆出发，参观华西、天投、中建二局、中创、城投科技、天际置业、中铁地产、中建科技、中建一局、开邦、上海一建、贵州建工、铁建昆仑、中建科工、快住集成、中共深装、电建成都工业化、五冶，经过重庆建工、中冶建工到达8号馆，参观中建八局、中铁一局、城投置地、交投、美好、建工共25处，在8号馆结束。全程步行路程约710米，每处停留2-3分钟，预计总时间70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沿途介绍、休息区停留介绍、对接洽谈区停留介绍由领队工作人员统一进行讲解，其他停留点由展商自行讲解。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三</w:t>
      </w:r>
      <w:r>
        <w:rPr>
          <w:rFonts w:ascii="Times New Roman" w:hAnsi="Times New Roman" w:eastAsia="黑体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其他安排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（一）每条参观路线开始前30分钟，在集合点签到并分发团组专业观众证件；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9"/>
        <w:textAlignment w:val="auto"/>
        <w:rPr>
          <w:rFonts w:ascii="仿宋" w:hAnsi="仿宋" w:eastAsia="仿宋" w:cs="仿宋"/>
          <w:kern w:val="0"/>
          <w:sz w:val="32"/>
          <w:szCs w:val="32"/>
          <w:lang w:bidi="ar"/>
        </w:rPr>
        <w:sectPr>
          <w:headerReference r:id="rId3" w:type="default"/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/>
          <w:sz w:val="32"/>
          <w:szCs w:val="32"/>
        </w:rPr>
        <w:t>（二）参观路线前，团队组织参观观众合影留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念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附件2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首届川渝住房城乡建设博览会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回执表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012"/>
        <w:gridCol w:w="2373"/>
        <w:gridCol w:w="2750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组织单位</w:t>
            </w:r>
          </w:p>
        </w:tc>
        <w:tc>
          <w:tcPr>
            <w:tcW w:w="9707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四川省建筑防水协会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参观单位（盖章）</w:t>
            </w:r>
          </w:p>
        </w:tc>
        <w:tc>
          <w:tcPr>
            <w:tcW w:w="9707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45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45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</w:pPr>
    </w:p>
    <w:p/>
    <w:sectPr>
      <w:headerReference r:id="rId4" w:type="default"/>
      <w:footerReference r:id="rId5" w:type="default"/>
      <w:footerReference r:id="rId6" w:type="even"/>
      <w:pgSz w:w="16838" w:h="11906" w:orient="landscape"/>
      <w:pgMar w:top="1800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9737725</wp:posOffset>
              </wp:positionV>
              <wp:extent cx="72390" cy="125730"/>
              <wp:effectExtent l="0" t="0" r="0" b="0"/>
              <wp:wrapNone/>
              <wp:docPr id="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20.7pt;margin-top:766.75pt;height:9.9pt;width:5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4pIHrXAAAA&#10;DQEAAA8AAAAAAAAAAQAgAAAAIgAAAGRycy9kb3ducmV2LnhtbFBLAQIUABQAAAAIAIdO4kCNp8CE&#10;rAEAAG4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C0E2F"/>
    <w:multiLevelType w:val="singleLevel"/>
    <w:tmpl w:val="83EC0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C5F963"/>
    <w:multiLevelType w:val="singleLevel"/>
    <w:tmpl w:val="07C5F9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5918"/>
    <w:rsid w:val="0AD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2021-06-17T04:00:00Z</dcterms:created>
  <dc:creator>liyan</dc:creator>
  <cp:lastModifiedBy>liyan</cp:lastModifiedBy>
  <dcterms:modified xsi:type="dcterms:W3CDTF">2021-06-17T04:02:20Z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7E94FB11C4E94CC1A4B7DB33BB430FF6</vt:lpwstr>
  </property>
</Properties>
</file>