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仪大宋简" w:hAnsi="Times New Roman" w:eastAsia="汉仪大宋简"/>
          <w:sz w:val="72"/>
          <w:szCs w:val="72"/>
        </w:rPr>
      </w:pPr>
    </w:p>
    <w:p>
      <w:pPr>
        <w:jc w:val="center"/>
        <w:rPr>
          <w:rFonts w:ascii="Times New Roman" w:hAnsi="Times New Roman" w:eastAsia="汉仪大宋简"/>
          <w:sz w:val="72"/>
          <w:szCs w:val="72"/>
        </w:rPr>
      </w:pPr>
      <w:r>
        <w:rPr>
          <w:rFonts w:ascii="汉仪大宋简" w:hAnsi="Times New Roman" w:eastAsia="汉仪大宋简"/>
          <w:sz w:val="72"/>
          <w:szCs w:val="72"/>
        </w:rPr>
        <w:t>四川省工程质量安全手册</w:t>
      </w:r>
    </w:p>
    <w:p>
      <w:pPr>
        <w:jc w:val="center"/>
        <w:rPr>
          <w:rFonts w:ascii="Times New Roman" w:hAnsi="Times New Roman" w:eastAsia="汉仪大宋简"/>
          <w:sz w:val="72"/>
          <w:szCs w:val="72"/>
        </w:rPr>
      </w:pPr>
      <w:r>
        <w:rPr>
          <w:rFonts w:ascii="汉仪大宋简" w:hAnsi="Times New Roman" w:eastAsia="汉仪大宋简"/>
          <w:sz w:val="72"/>
          <w:szCs w:val="72"/>
        </w:rPr>
        <w:t>实施细则（试行）</w:t>
      </w:r>
    </w:p>
    <w:p>
      <w:pPr>
        <w:jc w:val="center"/>
        <w:rPr>
          <w:rFonts w:ascii="Times New Roman" w:hAnsi="Times New Roman" w:eastAsia="汉仪大宋简"/>
          <w:sz w:val="72"/>
          <w:szCs w:val="72"/>
        </w:rPr>
      </w:pPr>
      <w:r>
        <w:rPr>
          <w:rFonts w:ascii="Times New Roman" w:hAnsi="Times New Roman" w:eastAsia="汉仪大宋简"/>
          <w:sz w:val="72"/>
          <w:szCs w:val="72"/>
        </w:rPr>
        <w:t xml:space="preserve"> </w:t>
      </w:r>
    </w:p>
    <w:p>
      <w:pPr>
        <w:jc w:val="center"/>
        <w:rPr>
          <w:rFonts w:ascii="黑体" w:hAnsi="黑体" w:eastAsia="黑体" w:cs="FZXBSK--GBK1-0"/>
          <w:color w:val="000000"/>
          <w:kern w:val="0"/>
          <w:sz w:val="52"/>
          <w:szCs w:val="52"/>
        </w:rPr>
      </w:pPr>
      <w:r>
        <w:rPr>
          <w:rFonts w:ascii="楷体" w:hAnsi="楷体" w:eastAsia="楷体"/>
          <w:b/>
          <w:bCs/>
          <w:sz w:val="36"/>
          <w:szCs w:val="36"/>
        </w:rPr>
        <w:t>（</w:t>
      </w:r>
      <w:r>
        <w:rPr>
          <w:rFonts w:hint="eastAsia" w:ascii="楷体" w:hAnsi="楷体" w:eastAsia="楷体"/>
          <w:b/>
          <w:bCs/>
          <w:sz w:val="36"/>
          <w:szCs w:val="36"/>
        </w:rPr>
        <w:t>附则</w:t>
      </w:r>
      <w:r>
        <w:rPr>
          <w:rFonts w:ascii="楷体" w:hAnsi="楷体" w:eastAsia="楷体"/>
          <w:b/>
          <w:bCs/>
          <w:sz w:val="36"/>
          <w:szCs w:val="36"/>
        </w:rPr>
        <w:t>）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黑体" w:hAnsi="黑体" w:eastAsia="黑体"/>
          <w:b/>
          <w:bCs/>
          <w:sz w:val="44"/>
          <w:szCs w:val="44"/>
        </w:rPr>
        <w:t>四川省住房和城乡建设厅</w:t>
      </w:r>
      <w:r>
        <w:rPr>
          <w:rFonts w:ascii="Times New Roman" w:hAnsi="Times New Roman" w:eastAsia="黑体"/>
          <w:b/>
          <w:bCs/>
          <w:sz w:val="44"/>
          <w:szCs w:val="44"/>
        </w:rPr>
        <w:t xml:space="preserve"> </w:t>
      </w:r>
    </w:p>
    <w:p>
      <w:pPr>
        <w:jc w:val="center"/>
      </w:pPr>
      <w:r>
        <w:rPr>
          <w:rFonts w:ascii="Times New Roman" w:hAnsi="Times New Roman" w:eastAsia="黑体"/>
          <w:b/>
          <w:bCs/>
          <w:sz w:val="44"/>
          <w:szCs w:val="44"/>
        </w:rPr>
        <w:t>2020</w:t>
      </w:r>
      <w:r>
        <w:rPr>
          <w:rFonts w:hint="eastAsia" w:ascii="黑体" w:hAnsi="黑体" w:eastAsia="黑体"/>
          <w:b/>
          <w:bCs/>
          <w:sz w:val="44"/>
          <w:szCs w:val="44"/>
        </w:rPr>
        <w:t>年</w:t>
      </w:r>
      <w:r>
        <w:rPr>
          <w:rFonts w:ascii="Times New Roman" w:hAnsi="Times New Roman" w:eastAsia="黑体"/>
          <w:b/>
          <w:bCs/>
          <w:sz w:val="44"/>
          <w:szCs w:val="44"/>
        </w:rPr>
        <w:t>7</w:t>
      </w:r>
      <w:r>
        <w:rPr>
          <w:rFonts w:hint="eastAsia" w:ascii="黑体" w:hAnsi="黑体" w:eastAsia="黑体"/>
          <w:b/>
          <w:bCs/>
          <w:sz w:val="44"/>
          <w:szCs w:val="44"/>
        </w:rPr>
        <w:t>月</w:t>
      </w:r>
    </w:p>
    <w:p>
      <w:pPr>
        <w:widowControl/>
        <w:jc w:val="left"/>
      </w:pPr>
      <w:r>
        <w:br w:type="page"/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 四川省工程质量安全手册实施细则（试行）是根据法律法规、国家有关规定和工程建设强制性标准制定，用于规范企业及项目质量安全行为、推进工程质量安全管理标准化，提升工程质量安全治理能力和水平，工程建设各方主体必须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8.2 除执行本细则外，工程建设各方主体还应执行工程建设法律法规、国家有关规定和相关标准规范。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8.3 本细则由</w:t>
      </w:r>
      <w:r>
        <w:rPr>
          <w:rFonts w:hint="eastAsia" w:ascii="仿宋" w:hAnsi="仿宋" w:eastAsia="仿宋"/>
          <w:sz w:val="32"/>
          <w:szCs w:val="32"/>
          <w:lang w:eastAsia="zh-CN"/>
        </w:rPr>
        <w:t>四川省</w:t>
      </w:r>
      <w:r>
        <w:rPr>
          <w:rFonts w:hint="eastAsia" w:ascii="仿宋" w:hAnsi="仿宋" w:eastAsia="仿宋"/>
          <w:sz w:val="32"/>
          <w:szCs w:val="32"/>
        </w:rPr>
        <w:t>住房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城乡建设厅负责解释。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8.4</w:t>
      </w:r>
      <w:r>
        <w:rPr>
          <w:rFonts w:ascii="Times New Roman" w:hAnsi="Times New Roman" w:eastAsia="仿宋"/>
          <w:spacing w:val="8"/>
          <w:sz w:val="32"/>
          <w:szCs w:val="32"/>
        </w:rPr>
        <w:t>本细则自发布之日起实施。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FF"/>
    <w:rsid w:val="00067362"/>
    <w:rsid w:val="001628D1"/>
    <w:rsid w:val="004B7D17"/>
    <w:rsid w:val="00663395"/>
    <w:rsid w:val="006D0BFF"/>
    <w:rsid w:val="008D12A0"/>
    <w:rsid w:val="00A64CF2"/>
    <w:rsid w:val="00AD387D"/>
    <w:rsid w:val="00E50791"/>
    <w:rsid w:val="0C891C78"/>
    <w:rsid w:val="298E2930"/>
    <w:rsid w:val="4EC0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222</Characters>
  <Lines>1</Lines>
  <Paragraphs>1</Paragraphs>
  <TotalTime>9</TotalTime>
  <ScaleCrop>false</ScaleCrop>
  <LinksUpToDate>false</LinksUpToDate>
  <CharactersWithSpaces>259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2020-07-03T07:57:00Z</dcterms:created>
  <dc:creator>张嘉欣</dc:creator>
  <cp:lastModifiedBy>普罗旺斯1415010023</cp:lastModifiedBy>
  <cp:lastPrinted>2020-07-03T09:55:00Z</cp:lastPrinted>
  <dcterms:modified xsi:type="dcterms:W3CDTF">2020-07-06T00:59:03Z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